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C5E24" w14:textId="55C8DE08" w:rsidR="005C210F" w:rsidRPr="00DC5E53" w:rsidRDefault="00C16733" w:rsidP="006E047C">
      <w:pPr>
        <w:pStyle w:val="RWHversion"/>
      </w:pPr>
      <w:r w:rsidRPr="00C16733">
        <w:rPr>
          <w:color w:val="0071A2"/>
          <w:sz w:val="52"/>
          <w:szCs w:val="52"/>
        </w:rPr>
        <w:t>Risk Management Plan</w:t>
      </w:r>
    </w:p>
    <w:p w14:paraId="195467C4" w14:textId="6BED76F9" w:rsidR="004C65C0" w:rsidRDefault="004B68ED" w:rsidP="00944458">
      <w:pPr>
        <w:pStyle w:val="RWHBodycopy"/>
      </w:pPr>
      <w:r>
        <w:t>‘</w:t>
      </w:r>
      <w:r w:rsidR="00944458">
        <w:t>Risk management is the combination of culture, systems and processes undertaken by an agency to coordinate the identification and management of risk. Risk management activities inform decision making, support the achievement of objectives and the prevention of harm</w:t>
      </w:r>
      <w:r>
        <w:t>’</w:t>
      </w:r>
      <w:r w:rsidR="009F2633">
        <w:t xml:space="preserve"> (State of Victoria, 2015)</w:t>
      </w:r>
      <w:r w:rsidR="00944458">
        <w:t>.</w:t>
      </w:r>
    </w:p>
    <w:p w14:paraId="561D9821" w14:textId="4F35D654" w:rsidR="00944458" w:rsidRDefault="004B68ED" w:rsidP="00944458">
      <w:pPr>
        <w:pStyle w:val="RWHBodycopy"/>
      </w:pPr>
      <w:r>
        <w:t xml:space="preserve"> </w:t>
      </w:r>
      <w:r>
        <w:tab/>
      </w:r>
      <w:r w:rsidR="00944458">
        <w:t>“Risk is the effe</w:t>
      </w:r>
      <w:r w:rsidR="00C87EBE">
        <w:t>ct of uncertainty on objectives</w:t>
      </w:r>
      <w:r w:rsidR="00944458">
        <w:t>”</w:t>
      </w:r>
      <w:r w:rsidR="00795E96">
        <w:t xml:space="preserve"> (</w:t>
      </w:r>
      <w:r w:rsidR="00944458">
        <w:t>AS/NZS ISO 31000</w:t>
      </w:r>
      <w:r w:rsidR="00795E96">
        <w:t xml:space="preserve">, </w:t>
      </w:r>
      <w:r w:rsidR="00944458">
        <w:t>20</w:t>
      </w:r>
      <w:r w:rsidR="00055194">
        <w:t xml:space="preserve">18). </w:t>
      </w:r>
    </w:p>
    <w:p w14:paraId="4862003B" w14:textId="09955553" w:rsidR="00944458" w:rsidRDefault="004B68ED" w:rsidP="0077236B">
      <w:pPr>
        <w:pStyle w:val="RWHBodycopy"/>
      </w:pPr>
      <w:r>
        <w:t>‘</w:t>
      </w:r>
      <w:r w:rsidR="00944458">
        <w:t>The effect that uncertainty has on the achievement of an agency’s objective, gives rise to risk. All agencies in the public sector are exposed to some level of risk, which all agencie</w:t>
      </w:r>
      <w:r>
        <w:t xml:space="preserve">s have an obligation to manage. </w:t>
      </w:r>
      <w:r w:rsidR="00944458">
        <w:t>An agency will be exposed to risk from many sources such as: political, economic, social, technological, regulatory or environmental. There are many different types of risk and multiple factors that influence risk. These may be global or localised and within the actual agency. Some factors will be beyond the agency’s ability to influence or control but the agency may still be impacted</w:t>
      </w:r>
      <w:r>
        <w:t xml:space="preserve"> … </w:t>
      </w:r>
      <w:r w:rsidR="00944458">
        <w:t>To manage risk, it is importan</w:t>
      </w:r>
      <w:r>
        <w:t xml:space="preserve">t to understand how uncertainty </w:t>
      </w:r>
      <w:r w:rsidR="00944458">
        <w:t>and objectives influence risk:</w:t>
      </w:r>
      <w:r>
        <w:t xml:space="preserve"> guide </w:t>
      </w:r>
      <w:r w:rsidR="00944458">
        <w:t>and assist in the desig</w:t>
      </w:r>
      <w:r>
        <w:t xml:space="preserve">n, implementation and oversight </w:t>
      </w:r>
      <w:r w:rsidR="00944458">
        <w:t>of your risk management framework</w:t>
      </w:r>
      <w:r w:rsidR="009F2633">
        <w:t xml:space="preserve">’ (State of Victoria, 2015). </w:t>
      </w:r>
    </w:p>
    <w:p w14:paraId="59953793" w14:textId="77777777" w:rsidR="00163071" w:rsidRDefault="00234ADD" w:rsidP="00234ADD">
      <w:pPr>
        <w:pStyle w:val="RWHBodycopy"/>
      </w:pPr>
      <w:r w:rsidRPr="00234ADD">
        <w:t>A list of potential project risks and the likelihood and consequences associated with each risk should be documented by the SHRFV Project Manager in consultation with the Executive Project Sponsor and Reference Group and a risk rating allocated</w:t>
      </w:r>
      <w:r w:rsidR="00163071">
        <w:t xml:space="preserve"> along with a plan to control and manage the risk.</w:t>
      </w:r>
    </w:p>
    <w:p w14:paraId="4C81E515" w14:textId="77777777" w:rsidR="003965A2" w:rsidRDefault="003965A2" w:rsidP="00234ADD">
      <w:pPr>
        <w:pStyle w:val="RWHBodycopy"/>
      </w:pPr>
      <w:r w:rsidRPr="003965A2">
        <w:t>It is likely your organisation will have risk management processes that can guide you in developing and documenting a risk management plan. The plan outlined below is one example of what to include in a risk management plan.</w:t>
      </w:r>
    </w:p>
    <w:p w14:paraId="2E3E38F0" w14:textId="77777777" w:rsidR="003965A2" w:rsidRDefault="003965A2" w:rsidP="00234ADD">
      <w:pPr>
        <w:pStyle w:val="RWHBodycopy"/>
      </w:pPr>
      <w:r w:rsidRPr="003965A2">
        <w:t xml:space="preserve">Alignment to </w:t>
      </w:r>
      <w:r>
        <w:t>the Family Violence Multi-Agency Risk Assessment and Management Framework (</w:t>
      </w:r>
      <w:r w:rsidRPr="003965A2">
        <w:t>MARAM</w:t>
      </w:r>
      <w:r>
        <w:t>)</w:t>
      </w:r>
      <w:r w:rsidRPr="003965A2">
        <w:t xml:space="preserve"> is progressive and is expected to take time and be an ongoing pr</w:t>
      </w:r>
      <w:r>
        <w:t xml:space="preserve">ocess through opportunities for </w:t>
      </w:r>
      <w:r w:rsidRPr="003965A2">
        <w:t>continuous improvement within a maturity model.</w:t>
      </w:r>
      <w:r>
        <w:t xml:space="preserve"> When developing a MARAM Alignment Action Plan d</w:t>
      </w:r>
      <w:r w:rsidRPr="003965A2">
        <w:t xml:space="preserve">ecisions will need to be made about prioritising alignment recommendations </w:t>
      </w:r>
      <w:r w:rsidR="00C87EBE">
        <w:t>and their implementation.</w:t>
      </w:r>
      <w:r w:rsidRPr="003965A2">
        <w:t xml:space="preserve"> </w:t>
      </w:r>
      <w:r w:rsidR="00C87EBE">
        <w:t>A</w:t>
      </w:r>
      <w:r>
        <w:t xml:space="preserve"> risk </w:t>
      </w:r>
      <w:r w:rsidR="00C87EBE">
        <w:t xml:space="preserve">managing plan can support these decisions. </w:t>
      </w:r>
    </w:p>
    <w:p w14:paraId="3D0DF0BD" w14:textId="77777777" w:rsidR="00234ADD" w:rsidRPr="00F07B90" w:rsidRDefault="00234ADD" w:rsidP="00234ADD">
      <w:pPr>
        <w:pStyle w:val="RWHAhead"/>
        <w:rPr>
          <w:b w:val="0"/>
          <w:bCs/>
          <w:sz w:val="28"/>
          <w:szCs w:val="28"/>
          <w:shd w:val="clear" w:color="auto" w:fill="FFFFFF"/>
        </w:rPr>
      </w:pPr>
      <w:r w:rsidRPr="00F07B90">
        <w:rPr>
          <w:b w:val="0"/>
          <w:bCs/>
          <w:sz w:val="28"/>
          <w:szCs w:val="28"/>
        </w:rPr>
        <w:t>Likelihood</w:t>
      </w:r>
      <w:r w:rsidRPr="00F07B90">
        <w:rPr>
          <w:b w:val="0"/>
          <w:bCs/>
          <w:sz w:val="28"/>
          <w:szCs w:val="28"/>
          <w:shd w:val="clear" w:color="auto" w:fill="FFFFFF"/>
        </w:rPr>
        <w:t xml:space="preserve"> of the risk occurring:</w:t>
      </w:r>
    </w:p>
    <w:p w14:paraId="5AD954DB" w14:textId="77777777" w:rsidR="00234ADD" w:rsidRPr="00205A56" w:rsidRDefault="00234ADD" w:rsidP="00234ADD">
      <w:pPr>
        <w:pStyle w:val="RWHBodycopy"/>
        <w:ind w:left="567" w:hanging="567"/>
      </w:pPr>
      <w:r>
        <w:t xml:space="preserve">4 </w:t>
      </w:r>
      <w:r>
        <w:tab/>
        <w:t>Almost certain —</w:t>
      </w:r>
      <w:r w:rsidRPr="00205A56">
        <w:t xml:space="preserve"> is expected to occur </w:t>
      </w:r>
    </w:p>
    <w:p w14:paraId="5E99395D" w14:textId="77777777" w:rsidR="00234ADD" w:rsidRPr="00205A56" w:rsidRDefault="00234ADD" w:rsidP="00234ADD">
      <w:pPr>
        <w:pStyle w:val="RWHBodycopy"/>
        <w:ind w:left="567" w:hanging="567"/>
      </w:pPr>
      <w:r>
        <w:t xml:space="preserve">3 </w:t>
      </w:r>
      <w:r>
        <w:tab/>
        <w:t>Likely —</w:t>
      </w:r>
      <w:r w:rsidRPr="00205A56">
        <w:t xml:space="preserve"> will probably occur </w:t>
      </w:r>
    </w:p>
    <w:p w14:paraId="373A7C87" w14:textId="77777777" w:rsidR="00234ADD" w:rsidRPr="00205A56" w:rsidRDefault="00234ADD" w:rsidP="00234ADD">
      <w:pPr>
        <w:pStyle w:val="RWHBodycopy"/>
        <w:ind w:left="567" w:hanging="567"/>
      </w:pPr>
      <w:r>
        <w:t xml:space="preserve">2 </w:t>
      </w:r>
      <w:r>
        <w:tab/>
        <w:t>Possible —</w:t>
      </w:r>
      <w:r w:rsidRPr="00205A56">
        <w:t xml:space="preserve"> could occur at some time</w:t>
      </w:r>
    </w:p>
    <w:p w14:paraId="59C8156B" w14:textId="77777777" w:rsidR="00234ADD" w:rsidRPr="00205A56" w:rsidRDefault="00234ADD" w:rsidP="00234ADD">
      <w:pPr>
        <w:pStyle w:val="RWHBodycopy"/>
        <w:ind w:left="567" w:hanging="567"/>
      </w:pPr>
      <w:r>
        <w:t xml:space="preserve">1 </w:t>
      </w:r>
      <w:r>
        <w:tab/>
        <w:t>Unlikely —</w:t>
      </w:r>
      <w:r w:rsidRPr="00205A56">
        <w:t xml:space="preserve"> is unlikely to occur</w:t>
      </w:r>
    </w:p>
    <w:p w14:paraId="6BEA838F" w14:textId="77777777" w:rsidR="00234ADD" w:rsidRPr="00F07B90" w:rsidRDefault="00234ADD" w:rsidP="00234ADD">
      <w:pPr>
        <w:pStyle w:val="RWHAhead"/>
        <w:rPr>
          <w:b w:val="0"/>
          <w:bCs/>
          <w:sz w:val="28"/>
          <w:szCs w:val="28"/>
        </w:rPr>
      </w:pPr>
      <w:r w:rsidRPr="00F07B90">
        <w:rPr>
          <w:b w:val="0"/>
          <w:bCs/>
          <w:sz w:val="28"/>
          <w:szCs w:val="28"/>
        </w:rPr>
        <w:t>Consequence if the risk does occur:</w:t>
      </w:r>
    </w:p>
    <w:p w14:paraId="1EC5EF0D" w14:textId="77777777" w:rsidR="00234ADD" w:rsidRPr="00205A56" w:rsidRDefault="00234ADD" w:rsidP="00234ADD">
      <w:pPr>
        <w:pStyle w:val="RWHBodycopy"/>
        <w:ind w:left="567" w:hanging="567"/>
      </w:pPr>
      <w:r>
        <w:t xml:space="preserve">4 </w:t>
      </w:r>
      <w:r>
        <w:tab/>
        <w:t>Significant impact —</w:t>
      </w:r>
      <w:r w:rsidRPr="00205A56">
        <w:t xml:space="preserve"> project outcomes are compromised leaving the hospital without a model for strengthening responses to family violence or jeopardising patient safety due to poor execution </w:t>
      </w:r>
    </w:p>
    <w:p w14:paraId="2A7080FE" w14:textId="77777777" w:rsidR="00234ADD" w:rsidRPr="00205A56" w:rsidRDefault="00234ADD" w:rsidP="00234ADD">
      <w:pPr>
        <w:pStyle w:val="RWHBodycopy"/>
        <w:ind w:left="567" w:hanging="567"/>
      </w:pPr>
      <w:r>
        <w:t xml:space="preserve">3 </w:t>
      </w:r>
      <w:r>
        <w:tab/>
        <w:t>High impact —</w:t>
      </w:r>
      <w:r w:rsidRPr="00205A56">
        <w:t xml:space="preserve"> will have a substantial impact on project success</w:t>
      </w:r>
    </w:p>
    <w:p w14:paraId="39115DC0" w14:textId="77777777" w:rsidR="00234ADD" w:rsidRPr="00205A56" w:rsidRDefault="00234ADD" w:rsidP="00234ADD">
      <w:pPr>
        <w:pStyle w:val="RWHBodycopy"/>
        <w:ind w:left="567" w:hanging="567"/>
      </w:pPr>
      <w:r>
        <w:t xml:space="preserve">2 </w:t>
      </w:r>
      <w:r>
        <w:tab/>
        <w:t>Moderate impact —</w:t>
      </w:r>
      <w:r w:rsidRPr="00205A56">
        <w:t xml:space="preserve"> will have a potential impact on project success </w:t>
      </w:r>
    </w:p>
    <w:p w14:paraId="6A46618B" w14:textId="77777777" w:rsidR="00234ADD" w:rsidRPr="00205A56" w:rsidRDefault="00234ADD" w:rsidP="00234ADD">
      <w:pPr>
        <w:pStyle w:val="RWHBodycopy"/>
        <w:ind w:left="567" w:hanging="567"/>
      </w:pPr>
      <w:r>
        <w:t xml:space="preserve">1 </w:t>
      </w:r>
      <w:r>
        <w:tab/>
        <w:t>Minor impact —</w:t>
      </w:r>
      <w:r w:rsidRPr="00205A56">
        <w:t xml:space="preserve"> minimal impact on project success</w:t>
      </w:r>
    </w:p>
    <w:p w14:paraId="291906B0" w14:textId="77777777" w:rsidR="00234ADD" w:rsidRDefault="00234ADD" w:rsidP="00234ADD">
      <w:pPr>
        <w:rPr>
          <w:rFonts w:ascii="Arial" w:eastAsia="Times New Roman" w:hAnsi="Arial" w:cs="Arial"/>
          <w:color w:val="000000" w:themeColor="text1"/>
          <w:spacing w:val="-4"/>
          <w:sz w:val="20"/>
          <w:szCs w:val="20"/>
          <w:bdr w:val="none" w:sz="0" w:space="0" w:color="auto" w:frame="1"/>
          <w:shd w:val="clear" w:color="auto" w:fill="FFFFFF"/>
          <w:lang w:eastAsia="en-AU"/>
        </w:rPr>
      </w:pPr>
    </w:p>
    <w:p w14:paraId="106465E5" w14:textId="77777777" w:rsidR="00F07B90" w:rsidRDefault="00F07B90">
      <w:pPr>
        <w:rPr>
          <w:rFonts w:ascii="Arial" w:eastAsia="Times New Roman" w:hAnsi="Arial" w:cs="Arial"/>
          <w:color w:val="000000" w:themeColor="text1"/>
          <w:spacing w:val="-4"/>
          <w:sz w:val="20"/>
          <w:szCs w:val="20"/>
          <w:bdr w:val="none" w:sz="0" w:space="0" w:color="auto" w:frame="1"/>
          <w:lang w:eastAsia="en-AU"/>
        </w:rPr>
      </w:pPr>
      <w:r>
        <w:br w:type="page"/>
      </w:r>
    </w:p>
    <w:p w14:paraId="50AF9657" w14:textId="77777777" w:rsidR="00F07B90" w:rsidRDefault="00F07B90" w:rsidP="00234ADD">
      <w:pPr>
        <w:pStyle w:val="RWHBodycopy"/>
        <w:spacing w:before="320" w:after="120"/>
        <w:sectPr w:rsidR="00F07B90" w:rsidSect="00F07B90">
          <w:headerReference w:type="default" r:id="rId8"/>
          <w:footerReference w:type="default" r:id="rId9"/>
          <w:pgSz w:w="11901" w:h="16817"/>
          <w:pgMar w:top="1418" w:right="1418" w:bottom="1418" w:left="1418" w:header="652" w:footer="618" w:gutter="0"/>
          <w:cols w:space="708"/>
          <w:docGrid w:linePitch="360" w:charSpace="32768"/>
        </w:sectPr>
      </w:pPr>
    </w:p>
    <w:p w14:paraId="7DB2CB7C" w14:textId="76A5C626" w:rsidR="006033F7" w:rsidRPr="00D0189B" w:rsidRDefault="00234ADD" w:rsidP="00234ADD">
      <w:pPr>
        <w:pStyle w:val="RWHBodycopy"/>
        <w:spacing w:before="320" w:after="120"/>
      </w:pPr>
      <w:r w:rsidRPr="00205A56">
        <w:lastRenderedPageBreak/>
        <w:t>A simple Risk Plan can be laid out like this:</w:t>
      </w:r>
    </w:p>
    <w:tbl>
      <w:tblPr>
        <w:tblStyle w:val="TableGrid"/>
        <w:tblW w:w="0" w:type="auto"/>
        <w:tblLook w:val="0620" w:firstRow="1" w:lastRow="0" w:firstColumn="0" w:lastColumn="0" w:noHBand="1" w:noVBand="1"/>
      </w:tblPr>
      <w:tblGrid>
        <w:gridCol w:w="417"/>
        <w:gridCol w:w="2130"/>
        <w:gridCol w:w="1417"/>
        <w:gridCol w:w="3686"/>
        <w:gridCol w:w="4110"/>
        <w:gridCol w:w="804"/>
        <w:gridCol w:w="1407"/>
      </w:tblGrid>
      <w:tr w:rsidR="006E0EAF" w14:paraId="73991A81" w14:textId="77777777" w:rsidTr="006E0EAF">
        <w:tc>
          <w:tcPr>
            <w:tcW w:w="41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F355E4A" w14:textId="77777777" w:rsidR="006E0EAF" w:rsidRDefault="006E0EAF" w:rsidP="006E0EAF">
            <w:pPr>
              <w:pStyle w:val="RWHTablehead1"/>
            </w:pPr>
          </w:p>
        </w:tc>
        <w:tc>
          <w:tcPr>
            <w:tcW w:w="213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tcPr>
          <w:p w14:paraId="4D6F1BAB" w14:textId="77777777" w:rsidR="006E0EAF" w:rsidRPr="006E0EAF" w:rsidRDefault="006E0EAF" w:rsidP="006E0EAF">
            <w:pPr>
              <w:pStyle w:val="RWHTablehead1"/>
            </w:pPr>
            <w:r w:rsidRPr="006E0EAF">
              <w:t xml:space="preserve">Risk </w:t>
            </w:r>
          </w:p>
        </w:tc>
        <w:tc>
          <w:tcPr>
            <w:tcW w:w="141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tcPr>
          <w:p w14:paraId="3A854058" w14:textId="77777777" w:rsidR="006E0EAF" w:rsidRPr="006E0EAF" w:rsidRDefault="006E0EAF" w:rsidP="006E0EAF">
            <w:pPr>
              <w:pStyle w:val="RWHTablehead1"/>
            </w:pPr>
            <w:r w:rsidRPr="006E0EAF">
              <w:t>Likelihood</w:t>
            </w:r>
          </w:p>
        </w:tc>
        <w:tc>
          <w:tcPr>
            <w:tcW w:w="368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tcPr>
          <w:p w14:paraId="250245EA" w14:textId="77777777" w:rsidR="006E0EAF" w:rsidRPr="006E0EAF" w:rsidRDefault="006E0EAF" w:rsidP="006E0EAF">
            <w:pPr>
              <w:pStyle w:val="RWHTablehead1"/>
            </w:pPr>
            <w:r w:rsidRPr="006E0EAF">
              <w:t>Consequences</w:t>
            </w:r>
          </w:p>
        </w:tc>
        <w:tc>
          <w:tcPr>
            <w:tcW w:w="411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tcPr>
          <w:p w14:paraId="6340E298" w14:textId="7348ACDC" w:rsidR="006E0EAF" w:rsidRPr="006E0EAF" w:rsidRDefault="006E0EAF" w:rsidP="0077236B">
            <w:pPr>
              <w:pStyle w:val="RWHTablehead1"/>
            </w:pPr>
            <w:r w:rsidRPr="006E0EAF">
              <w:t xml:space="preserve">Plan to control and </w:t>
            </w:r>
            <w:r w:rsidR="00163071">
              <w:t>manage</w:t>
            </w:r>
          </w:p>
        </w:tc>
        <w:tc>
          <w:tcPr>
            <w:tcW w:w="804"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tcPr>
          <w:p w14:paraId="4B41D116" w14:textId="77777777" w:rsidR="006E0EAF" w:rsidRPr="006E0EAF" w:rsidRDefault="006E0EAF" w:rsidP="006E0EAF">
            <w:pPr>
              <w:pStyle w:val="RWHTablehead1"/>
            </w:pPr>
            <w:r w:rsidRPr="006E0EAF">
              <w:t>Risk rating</w:t>
            </w:r>
          </w:p>
        </w:tc>
        <w:tc>
          <w:tcPr>
            <w:tcW w:w="140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tcPr>
          <w:p w14:paraId="36FF1A1A" w14:textId="77777777" w:rsidR="006E0EAF" w:rsidRPr="006E0EAF" w:rsidRDefault="006E0EAF" w:rsidP="006E0EAF">
            <w:pPr>
              <w:pStyle w:val="RWHTablehead1"/>
            </w:pPr>
            <w:r w:rsidRPr="006E0EAF">
              <w:t xml:space="preserve">Person responsible </w:t>
            </w:r>
          </w:p>
        </w:tc>
      </w:tr>
      <w:tr w:rsidR="006E0EAF" w14:paraId="37E4D072" w14:textId="77777777" w:rsidTr="006E0EAF">
        <w:tc>
          <w:tcPr>
            <w:tcW w:w="417" w:type="dxa"/>
            <w:tcBorders>
              <w:top w:val="single" w:sz="4" w:space="0" w:color="0071A2"/>
            </w:tcBorders>
            <w:tcMar>
              <w:top w:w="85" w:type="dxa"/>
              <w:bottom w:w="85" w:type="dxa"/>
            </w:tcMar>
          </w:tcPr>
          <w:p w14:paraId="539AB681" w14:textId="77777777" w:rsidR="006E0EAF" w:rsidRPr="006033F7" w:rsidRDefault="006E0EAF" w:rsidP="006E0EAF">
            <w:pPr>
              <w:pStyle w:val="RWHtabletext"/>
            </w:pPr>
            <w:r>
              <w:t>1</w:t>
            </w:r>
          </w:p>
        </w:tc>
        <w:tc>
          <w:tcPr>
            <w:tcW w:w="2130" w:type="dxa"/>
            <w:tcBorders>
              <w:top w:val="single" w:sz="4" w:space="0" w:color="0071A2"/>
            </w:tcBorders>
            <w:tcMar>
              <w:top w:w="85" w:type="dxa"/>
              <w:bottom w:w="85" w:type="dxa"/>
            </w:tcMar>
          </w:tcPr>
          <w:p w14:paraId="65BA6986" w14:textId="788578FF" w:rsidR="00A013D8" w:rsidRDefault="00A013D8" w:rsidP="006E0EAF">
            <w:pPr>
              <w:pStyle w:val="RWHtabletext"/>
            </w:pPr>
            <w:r>
              <w:t>Unable to embed MARAM screening</w:t>
            </w:r>
            <w:r w:rsidR="00A75BF3">
              <w:t xml:space="preserve"> and identification</w:t>
            </w:r>
            <w:r>
              <w:t xml:space="preserve"> tool into </w:t>
            </w:r>
            <w:r w:rsidR="00AA3532">
              <w:t xml:space="preserve">existing </w:t>
            </w:r>
            <w:r>
              <w:t>EMR</w:t>
            </w:r>
          </w:p>
          <w:p w14:paraId="33E731F7" w14:textId="77777777" w:rsidR="00A013D8" w:rsidRDefault="00A013D8" w:rsidP="006E0EAF">
            <w:pPr>
              <w:pStyle w:val="RWHtabletext"/>
            </w:pPr>
          </w:p>
          <w:p w14:paraId="71586593" w14:textId="1111C609" w:rsidR="006E0EAF" w:rsidRPr="006033F7" w:rsidRDefault="006E0EAF" w:rsidP="006E0EAF">
            <w:pPr>
              <w:pStyle w:val="RWHtabletext"/>
            </w:pPr>
          </w:p>
        </w:tc>
        <w:tc>
          <w:tcPr>
            <w:tcW w:w="1417" w:type="dxa"/>
            <w:tcBorders>
              <w:top w:val="single" w:sz="4" w:space="0" w:color="0071A2"/>
            </w:tcBorders>
            <w:tcMar>
              <w:top w:w="85" w:type="dxa"/>
              <w:bottom w:w="85" w:type="dxa"/>
            </w:tcMar>
          </w:tcPr>
          <w:p w14:paraId="673DBC20" w14:textId="71E6FA85" w:rsidR="006E0EAF" w:rsidRPr="006033F7" w:rsidRDefault="00A013D8" w:rsidP="006E0EAF">
            <w:pPr>
              <w:pStyle w:val="RWHtabletext"/>
            </w:pPr>
            <w:r>
              <w:t>Possible</w:t>
            </w:r>
          </w:p>
        </w:tc>
        <w:tc>
          <w:tcPr>
            <w:tcW w:w="3686" w:type="dxa"/>
            <w:tcBorders>
              <w:top w:val="single" w:sz="4" w:space="0" w:color="0071A2"/>
            </w:tcBorders>
            <w:tcMar>
              <w:top w:w="85" w:type="dxa"/>
              <w:bottom w:w="85" w:type="dxa"/>
            </w:tcMar>
          </w:tcPr>
          <w:p w14:paraId="4666FE0D" w14:textId="19204898" w:rsidR="006E0EAF" w:rsidRPr="00F60123" w:rsidRDefault="00A013D8" w:rsidP="006E0EAF">
            <w:pPr>
              <w:pStyle w:val="RWHtabletext"/>
            </w:pPr>
            <w:r>
              <w:t>High</w:t>
            </w:r>
          </w:p>
          <w:p w14:paraId="782D1E2C" w14:textId="068DC16B" w:rsidR="006E0EAF" w:rsidRDefault="006E0EAF" w:rsidP="006E0EAF">
            <w:pPr>
              <w:pStyle w:val="RWHtabletext"/>
              <w:numPr>
                <w:ilvl w:val="0"/>
                <w:numId w:val="34"/>
              </w:numPr>
              <w:ind w:left="170" w:hanging="170"/>
            </w:pPr>
            <w:r w:rsidRPr="00285157">
              <w:t xml:space="preserve">Poor or </w:t>
            </w:r>
            <w:r w:rsidR="00A013D8">
              <w:t>inconsistent documentation of risk relevant family violence information</w:t>
            </w:r>
          </w:p>
          <w:p w14:paraId="6CC8E21A" w14:textId="0741E351" w:rsidR="006E0EAF" w:rsidRDefault="00A75BF3" w:rsidP="006E0EAF">
            <w:pPr>
              <w:pStyle w:val="RWHtabletext"/>
              <w:numPr>
                <w:ilvl w:val="0"/>
                <w:numId w:val="34"/>
              </w:numPr>
              <w:ind w:left="170" w:hanging="170"/>
            </w:pPr>
            <w:r>
              <w:t>Timely Information Sharing not able to occur</w:t>
            </w:r>
          </w:p>
          <w:p w14:paraId="75EB7BF0" w14:textId="77594FA0" w:rsidR="0035652F" w:rsidRPr="006033F7" w:rsidRDefault="0035652F">
            <w:pPr>
              <w:pStyle w:val="RWHtabletext"/>
              <w:numPr>
                <w:ilvl w:val="0"/>
                <w:numId w:val="34"/>
              </w:numPr>
              <w:ind w:left="170" w:hanging="170"/>
            </w:pPr>
            <w:r>
              <w:t>Staff not able to correctly meet MARAM responsibility 2 practice expectations</w:t>
            </w:r>
          </w:p>
        </w:tc>
        <w:tc>
          <w:tcPr>
            <w:tcW w:w="4110" w:type="dxa"/>
            <w:tcBorders>
              <w:top w:val="single" w:sz="4" w:space="0" w:color="0071A2"/>
            </w:tcBorders>
            <w:tcMar>
              <w:top w:w="85" w:type="dxa"/>
              <w:bottom w:w="85" w:type="dxa"/>
            </w:tcMar>
          </w:tcPr>
          <w:p w14:paraId="566C590B" w14:textId="632A3A44" w:rsidR="00A75BF3" w:rsidRDefault="00A75BF3" w:rsidP="006E0EAF">
            <w:pPr>
              <w:pStyle w:val="RWHtabletext"/>
              <w:numPr>
                <w:ilvl w:val="0"/>
                <w:numId w:val="34"/>
              </w:numPr>
              <w:ind w:left="170" w:hanging="170"/>
            </w:pPr>
            <w:r>
              <w:t>Engage with relevant EMR members to plan for screening tool embedding</w:t>
            </w:r>
          </w:p>
          <w:p w14:paraId="56962177" w14:textId="5500C34D" w:rsidR="00A75BF3" w:rsidRDefault="00A75BF3" w:rsidP="006E0EAF">
            <w:pPr>
              <w:pStyle w:val="RWHtabletext"/>
              <w:numPr>
                <w:ilvl w:val="0"/>
                <w:numId w:val="34"/>
              </w:numPr>
              <w:ind w:left="170" w:hanging="170"/>
            </w:pPr>
            <w:r>
              <w:t>Ensure EMR downtime procedures include family violence documentation management</w:t>
            </w:r>
          </w:p>
          <w:p w14:paraId="13D8D1C2" w14:textId="2606069E" w:rsidR="00A75BF3" w:rsidRDefault="00A75BF3" w:rsidP="006E0EAF">
            <w:pPr>
              <w:pStyle w:val="RWHtabletext"/>
              <w:numPr>
                <w:ilvl w:val="0"/>
                <w:numId w:val="34"/>
              </w:numPr>
              <w:ind w:left="170" w:hanging="170"/>
            </w:pPr>
            <w:r>
              <w:t xml:space="preserve">Incorporate screening and identification questions into family violence procedure </w:t>
            </w:r>
          </w:p>
          <w:p w14:paraId="717687C9" w14:textId="2CB97370" w:rsidR="006E0EAF" w:rsidRPr="006033F7" w:rsidRDefault="006E0EAF" w:rsidP="0062779E">
            <w:pPr>
              <w:pStyle w:val="RWHtabletext"/>
            </w:pPr>
          </w:p>
        </w:tc>
        <w:tc>
          <w:tcPr>
            <w:tcW w:w="804" w:type="dxa"/>
            <w:tcBorders>
              <w:top w:val="single" w:sz="4" w:space="0" w:color="0071A2"/>
            </w:tcBorders>
            <w:tcMar>
              <w:top w:w="85" w:type="dxa"/>
              <w:bottom w:w="85" w:type="dxa"/>
            </w:tcMar>
          </w:tcPr>
          <w:p w14:paraId="6B441637" w14:textId="618E4AF4" w:rsidR="006E0EAF" w:rsidRPr="006033F7" w:rsidRDefault="00A75BF3" w:rsidP="006E0EAF">
            <w:pPr>
              <w:pStyle w:val="RWHtabletext"/>
            </w:pPr>
            <w:r>
              <w:t>3</w:t>
            </w:r>
          </w:p>
        </w:tc>
        <w:tc>
          <w:tcPr>
            <w:tcW w:w="1407" w:type="dxa"/>
            <w:tcBorders>
              <w:top w:val="single" w:sz="4" w:space="0" w:color="0071A2"/>
            </w:tcBorders>
            <w:tcMar>
              <w:top w:w="85" w:type="dxa"/>
              <w:bottom w:w="85" w:type="dxa"/>
            </w:tcMar>
          </w:tcPr>
          <w:p w14:paraId="7B9C57E4" w14:textId="0D0BF083" w:rsidR="006E0EAF" w:rsidRPr="006033F7" w:rsidRDefault="0062779E" w:rsidP="006E0EAF">
            <w:pPr>
              <w:pStyle w:val="RWHtabletext"/>
            </w:pPr>
            <w:r>
              <w:t>SHRFV Project Manager</w:t>
            </w:r>
          </w:p>
        </w:tc>
      </w:tr>
      <w:tr w:rsidR="006E0EAF" w14:paraId="0A218239" w14:textId="77777777" w:rsidTr="006E0EAF">
        <w:tc>
          <w:tcPr>
            <w:tcW w:w="417" w:type="dxa"/>
            <w:tcMar>
              <w:top w:w="85" w:type="dxa"/>
              <w:bottom w:w="85" w:type="dxa"/>
            </w:tcMar>
          </w:tcPr>
          <w:p w14:paraId="601D80C0" w14:textId="77777777" w:rsidR="006E0EAF" w:rsidRDefault="006E0EAF" w:rsidP="006E0EAF">
            <w:pPr>
              <w:pStyle w:val="RWHtabletext"/>
            </w:pPr>
            <w:r>
              <w:t>2</w:t>
            </w:r>
          </w:p>
        </w:tc>
        <w:tc>
          <w:tcPr>
            <w:tcW w:w="2130" w:type="dxa"/>
            <w:tcMar>
              <w:top w:w="85" w:type="dxa"/>
              <w:bottom w:w="85" w:type="dxa"/>
            </w:tcMar>
          </w:tcPr>
          <w:p w14:paraId="66E12FB2" w14:textId="461C795E" w:rsidR="006E0EAF" w:rsidRDefault="006E0EAF" w:rsidP="0077236B">
            <w:pPr>
              <w:pStyle w:val="RWHtabletext"/>
            </w:pPr>
            <w:r w:rsidRPr="00285157">
              <w:t xml:space="preserve">Lack of resources allocated to implement </w:t>
            </w:r>
            <w:r w:rsidR="00C87EBE">
              <w:t>MARAM Alignment Action Plan</w:t>
            </w:r>
          </w:p>
        </w:tc>
        <w:tc>
          <w:tcPr>
            <w:tcW w:w="1417" w:type="dxa"/>
            <w:tcMar>
              <w:top w:w="85" w:type="dxa"/>
              <w:bottom w:w="85" w:type="dxa"/>
            </w:tcMar>
          </w:tcPr>
          <w:p w14:paraId="67EFB9B8" w14:textId="77777777" w:rsidR="006E0EAF" w:rsidRDefault="006E0EAF" w:rsidP="006E0EAF">
            <w:pPr>
              <w:pStyle w:val="RWHtabletext"/>
            </w:pPr>
            <w:r w:rsidRPr="00285157">
              <w:t>Almost certain</w:t>
            </w:r>
            <w:bookmarkStart w:id="0" w:name="_GoBack"/>
            <w:bookmarkEnd w:id="0"/>
          </w:p>
        </w:tc>
        <w:tc>
          <w:tcPr>
            <w:tcW w:w="3686" w:type="dxa"/>
            <w:tcMar>
              <w:top w:w="85" w:type="dxa"/>
              <w:bottom w:w="85" w:type="dxa"/>
            </w:tcMar>
          </w:tcPr>
          <w:p w14:paraId="72B4C3EC" w14:textId="77777777" w:rsidR="006E0EAF" w:rsidRPr="00F60123" w:rsidRDefault="006E0EAF" w:rsidP="006E0EAF">
            <w:pPr>
              <w:pStyle w:val="RWHtabletext"/>
            </w:pPr>
            <w:r>
              <w:t xml:space="preserve">High </w:t>
            </w:r>
          </w:p>
          <w:p w14:paraId="1BCD2D26" w14:textId="4D68F852" w:rsidR="006E0EAF" w:rsidRDefault="006E0EAF" w:rsidP="006E0EAF">
            <w:pPr>
              <w:pStyle w:val="RWHtabletext"/>
              <w:numPr>
                <w:ilvl w:val="0"/>
                <w:numId w:val="34"/>
              </w:numPr>
              <w:ind w:left="170" w:hanging="170"/>
            </w:pPr>
            <w:r w:rsidRPr="00285157">
              <w:t xml:space="preserve">Poor or incomplete </w:t>
            </w:r>
            <w:r w:rsidR="00C87EBE">
              <w:t>alignment</w:t>
            </w:r>
          </w:p>
          <w:p w14:paraId="2949BA63" w14:textId="77777777" w:rsidR="00C87EBE" w:rsidRDefault="00C87EBE" w:rsidP="006E0EAF">
            <w:pPr>
              <w:pStyle w:val="RWHtabletext"/>
              <w:numPr>
                <w:ilvl w:val="0"/>
                <w:numId w:val="34"/>
              </w:numPr>
              <w:ind w:left="170" w:hanging="170"/>
            </w:pPr>
            <w:r>
              <w:t xml:space="preserve">Not meeting legislative </w:t>
            </w:r>
            <w:r w:rsidR="0077236B">
              <w:t>requirements</w:t>
            </w:r>
          </w:p>
          <w:p w14:paraId="0C80288E" w14:textId="77777777" w:rsidR="006E0EAF" w:rsidRDefault="006E0EAF" w:rsidP="006E0EAF">
            <w:pPr>
              <w:pStyle w:val="RWHtabletext"/>
              <w:numPr>
                <w:ilvl w:val="0"/>
                <w:numId w:val="34"/>
              </w:numPr>
              <w:ind w:left="170" w:hanging="170"/>
            </w:pPr>
            <w:r>
              <w:t>Need to extend time frames</w:t>
            </w:r>
          </w:p>
        </w:tc>
        <w:tc>
          <w:tcPr>
            <w:tcW w:w="4110" w:type="dxa"/>
            <w:tcMar>
              <w:top w:w="85" w:type="dxa"/>
              <w:bottom w:w="85" w:type="dxa"/>
            </w:tcMar>
          </w:tcPr>
          <w:p w14:paraId="2BA09918" w14:textId="77777777" w:rsidR="006E0EAF" w:rsidRDefault="006E0EAF" w:rsidP="006E0EAF">
            <w:pPr>
              <w:pStyle w:val="RWHtabletext"/>
              <w:numPr>
                <w:ilvl w:val="0"/>
                <w:numId w:val="34"/>
              </w:numPr>
              <w:ind w:left="170" w:hanging="170"/>
            </w:pPr>
            <w:r w:rsidRPr="00285157">
              <w:t>Detailed scoping undertaken early to identify resource requirements</w:t>
            </w:r>
          </w:p>
          <w:p w14:paraId="4B1DE876" w14:textId="77777777" w:rsidR="0077236B" w:rsidRDefault="006E0EAF" w:rsidP="000856D1">
            <w:pPr>
              <w:pStyle w:val="RWHtabletext"/>
              <w:numPr>
                <w:ilvl w:val="0"/>
                <w:numId w:val="34"/>
              </w:numPr>
              <w:ind w:left="170" w:hanging="170"/>
            </w:pPr>
            <w:r w:rsidRPr="00285157">
              <w:t>Realistic plan developed to secure resource requirements</w:t>
            </w:r>
          </w:p>
          <w:p w14:paraId="556BE04A" w14:textId="77777777" w:rsidR="0077236B" w:rsidRDefault="0077236B" w:rsidP="0077236B">
            <w:pPr>
              <w:pStyle w:val="RWHtabletext"/>
              <w:numPr>
                <w:ilvl w:val="0"/>
                <w:numId w:val="34"/>
              </w:numPr>
              <w:ind w:left="170" w:hanging="170"/>
            </w:pPr>
            <w:r w:rsidRPr="0077236B">
              <w:t>Robust project plan developed with realistic tasks and activities identified</w:t>
            </w:r>
            <w:r>
              <w:t xml:space="preserve"> and timeframes which consider current resourcing </w:t>
            </w:r>
          </w:p>
        </w:tc>
        <w:tc>
          <w:tcPr>
            <w:tcW w:w="804" w:type="dxa"/>
            <w:tcMar>
              <w:top w:w="85" w:type="dxa"/>
              <w:bottom w:w="85" w:type="dxa"/>
            </w:tcMar>
          </w:tcPr>
          <w:p w14:paraId="26886687" w14:textId="4F0B2E37" w:rsidR="006E0EAF" w:rsidRDefault="00C87EBE" w:rsidP="006E0EAF">
            <w:pPr>
              <w:pStyle w:val="RWHtabletext"/>
            </w:pPr>
            <w:r>
              <w:t>4</w:t>
            </w:r>
          </w:p>
        </w:tc>
        <w:tc>
          <w:tcPr>
            <w:tcW w:w="1407" w:type="dxa"/>
            <w:tcMar>
              <w:top w:w="85" w:type="dxa"/>
              <w:bottom w:w="85" w:type="dxa"/>
            </w:tcMar>
          </w:tcPr>
          <w:p w14:paraId="59D2153E" w14:textId="77777777" w:rsidR="00C87EBE" w:rsidRDefault="00C87EBE" w:rsidP="00C87EBE">
            <w:pPr>
              <w:pStyle w:val="RWHtabletext"/>
            </w:pPr>
            <w:r>
              <w:t>CEO and SHRFV</w:t>
            </w:r>
          </w:p>
          <w:p w14:paraId="6B85E14F" w14:textId="77777777" w:rsidR="006E0EAF" w:rsidRDefault="00C87EBE" w:rsidP="00C87EBE">
            <w:pPr>
              <w:pStyle w:val="RWHtabletext"/>
            </w:pPr>
            <w:r>
              <w:t>Executive Project Sponsor</w:t>
            </w:r>
          </w:p>
        </w:tc>
      </w:tr>
      <w:tr w:rsidR="006E0EAF" w14:paraId="0E650A75" w14:textId="77777777" w:rsidTr="006E0EAF">
        <w:tc>
          <w:tcPr>
            <w:tcW w:w="417" w:type="dxa"/>
            <w:tcMar>
              <w:top w:w="85" w:type="dxa"/>
              <w:bottom w:w="85" w:type="dxa"/>
            </w:tcMar>
          </w:tcPr>
          <w:p w14:paraId="428D7530" w14:textId="77777777" w:rsidR="006E0EAF" w:rsidRDefault="006E0EAF" w:rsidP="006E0EAF">
            <w:pPr>
              <w:pStyle w:val="RWHtabletext"/>
            </w:pPr>
            <w:r>
              <w:t>3</w:t>
            </w:r>
          </w:p>
        </w:tc>
        <w:tc>
          <w:tcPr>
            <w:tcW w:w="2130" w:type="dxa"/>
            <w:tcMar>
              <w:top w:w="85" w:type="dxa"/>
              <w:bottom w:w="85" w:type="dxa"/>
            </w:tcMar>
          </w:tcPr>
          <w:p w14:paraId="47D579EB" w14:textId="77777777" w:rsidR="006E0EAF" w:rsidRDefault="006E0EAF" w:rsidP="006E0EAF">
            <w:pPr>
              <w:pStyle w:val="RWHtabletext"/>
            </w:pPr>
            <w:r w:rsidRPr="00285157">
              <w:t>Vicarious trauma</w:t>
            </w:r>
          </w:p>
        </w:tc>
        <w:tc>
          <w:tcPr>
            <w:tcW w:w="1417" w:type="dxa"/>
            <w:tcMar>
              <w:top w:w="85" w:type="dxa"/>
              <w:bottom w:w="85" w:type="dxa"/>
            </w:tcMar>
          </w:tcPr>
          <w:p w14:paraId="63B31126" w14:textId="77777777" w:rsidR="006E0EAF" w:rsidRDefault="006E0EAF" w:rsidP="006E0EAF">
            <w:pPr>
              <w:pStyle w:val="RWHtabletext"/>
            </w:pPr>
            <w:r w:rsidRPr="00285157">
              <w:t>Likely</w:t>
            </w:r>
          </w:p>
        </w:tc>
        <w:tc>
          <w:tcPr>
            <w:tcW w:w="3686" w:type="dxa"/>
            <w:tcMar>
              <w:top w:w="85" w:type="dxa"/>
              <w:bottom w:w="85" w:type="dxa"/>
            </w:tcMar>
          </w:tcPr>
          <w:p w14:paraId="67A5C468" w14:textId="77777777" w:rsidR="006E0EAF" w:rsidRPr="00F60123" w:rsidRDefault="006E0EAF" w:rsidP="006E0EAF">
            <w:pPr>
              <w:pStyle w:val="RWHtabletext"/>
            </w:pPr>
            <w:r>
              <w:t>Significant</w:t>
            </w:r>
          </w:p>
          <w:p w14:paraId="5D6CAF4F" w14:textId="77777777" w:rsidR="006E0EAF" w:rsidRDefault="006E0EAF" w:rsidP="006E0EAF">
            <w:pPr>
              <w:pStyle w:val="RWHtabletext"/>
              <w:numPr>
                <w:ilvl w:val="0"/>
                <w:numId w:val="34"/>
              </w:numPr>
              <w:ind w:left="170" w:hanging="170"/>
            </w:pPr>
            <w:r w:rsidRPr="00285157">
              <w:t>Staff absenteeism</w:t>
            </w:r>
          </w:p>
          <w:p w14:paraId="2D8E4843" w14:textId="77777777" w:rsidR="006E0EAF" w:rsidRDefault="006E0EAF" w:rsidP="006E0EAF">
            <w:pPr>
              <w:pStyle w:val="RWHtabletext"/>
              <w:numPr>
                <w:ilvl w:val="0"/>
                <w:numId w:val="34"/>
              </w:numPr>
              <w:ind w:left="170" w:hanging="170"/>
            </w:pPr>
            <w:r w:rsidRPr="00285157">
              <w:t>Lack of engagement with SHRFV project</w:t>
            </w:r>
          </w:p>
        </w:tc>
        <w:tc>
          <w:tcPr>
            <w:tcW w:w="4110" w:type="dxa"/>
            <w:tcMar>
              <w:top w:w="85" w:type="dxa"/>
              <w:bottom w:w="85" w:type="dxa"/>
            </w:tcMar>
          </w:tcPr>
          <w:p w14:paraId="4676EEA8" w14:textId="77777777" w:rsidR="006E0EAF" w:rsidRPr="00285157" w:rsidRDefault="006E0EAF" w:rsidP="006E0EAF">
            <w:pPr>
              <w:pStyle w:val="RWHtabletext"/>
              <w:numPr>
                <w:ilvl w:val="0"/>
                <w:numId w:val="34"/>
              </w:numPr>
              <w:ind w:left="170" w:hanging="170"/>
            </w:pPr>
            <w:r w:rsidRPr="00285157">
              <w:t>FV workplace support training for managers</w:t>
            </w:r>
          </w:p>
          <w:p w14:paraId="5BAE8556" w14:textId="77777777" w:rsidR="006E0EAF" w:rsidRDefault="006E0EAF" w:rsidP="006E0EAF">
            <w:pPr>
              <w:pStyle w:val="RWHtabletext"/>
              <w:numPr>
                <w:ilvl w:val="0"/>
                <w:numId w:val="34"/>
              </w:numPr>
              <w:ind w:left="170" w:hanging="170"/>
            </w:pPr>
            <w:r w:rsidRPr="00285157">
              <w:t xml:space="preserve">Promotion of workplace support options for staff </w:t>
            </w:r>
          </w:p>
          <w:p w14:paraId="513E1A12" w14:textId="77777777" w:rsidR="006E0EAF" w:rsidRDefault="006E0EAF" w:rsidP="006E0EAF">
            <w:pPr>
              <w:pStyle w:val="RWHtabletext"/>
              <w:numPr>
                <w:ilvl w:val="0"/>
                <w:numId w:val="34"/>
              </w:numPr>
              <w:ind w:left="170" w:hanging="170"/>
            </w:pPr>
            <w:r w:rsidRPr="00285157">
              <w:t>Team reflective practice</w:t>
            </w:r>
            <w:r>
              <w:t xml:space="preserve"> introduced</w:t>
            </w:r>
          </w:p>
        </w:tc>
        <w:tc>
          <w:tcPr>
            <w:tcW w:w="804" w:type="dxa"/>
            <w:tcMar>
              <w:top w:w="85" w:type="dxa"/>
              <w:bottom w:w="85" w:type="dxa"/>
            </w:tcMar>
          </w:tcPr>
          <w:p w14:paraId="567AF89C" w14:textId="7AF8D84E" w:rsidR="006E0EAF" w:rsidRDefault="00C87EBE" w:rsidP="006E0EAF">
            <w:pPr>
              <w:pStyle w:val="RWHtabletext"/>
            </w:pPr>
            <w:r>
              <w:t>3</w:t>
            </w:r>
          </w:p>
        </w:tc>
        <w:tc>
          <w:tcPr>
            <w:tcW w:w="1407" w:type="dxa"/>
            <w:tcMar>
              <w:top w:w="85" w:type="dxa"/>
              <w:bottom w:w="85" w:type="dxa"/>
            </w:tcMar>
          </w:tcPr>
          <w:p w14:paraId="46A04ADE" w14:textId="77777777" w:rsidR="006E0EAF" w:rsidRDefault="00C87EBE" w:rsidP="006E0EAF">
            <w:pPr>
              <w:pStyle w:val="RWHtabletext"/>
            </w:pPr>
            <w:r>
              <w:t>Executive director of Human Resources</w:t>
            </w:r>
          </w:p>
        </w:tc>
      </w:tr>
    </w:tbl>
    <w:p w14:paraId="60363911" w14:textId="1B383445" w:rsidR="00D16634" w:rsidRDefault="00D16634" w:rsidP="0077236B">
      <w:pPr>
        <w:pStyle w:val="RWHBodycopy"/>
      </w:pPr>
    </w:p>
    <w:p w14:paraId="5639EE8B" w14:textId="4FDBF6F4" w:rsidR="00D16634" w:rsidRPr="00F07B90" w:rsidRDefault="00D16634" w:rsidP="0077236B">
      <w:pPr>
        <w:pStyle w:val="RWHBodycopy"/>
        <w:rPr>
          <w:color w:val="0171A2"/>
          <w:sz w:val="28"/>
          <w:szCs w:val="28"/>
        </w:rPr>
      </w:pPr>
      <w:r w:rsidRPr="00F07B90">
        <w:rPr>
          <w:color w:val="0171A2"/>
          <w:sz w:val="28"/>
          <w:szCs w:val="28"/>
        </w:rPr>
        <w:t>Endnotes</w:t>
      </w:r>
    </w:p>
    <w:p w14:paraId="449DC196" w14:textId="4F74BD9E" w:rsidR="00D16634" w:rsidRDefault="00D16634" w:rsidP="008F59F9">
      <w:pPr>
        <w:pStyle w:val="RWHBodycopy"/>
        <w:numPr>
          <w:ilvl w:val="0"/>
          <w:numId w:val="37"/>
        </w:numPr>
      </w:pPr>
      <w:r>
        <w:t xml:space="preserve">State of Victoria, </w:t>
      </w:r>
      <w:r w:rsidRPr="008F59F9">
        <w:t>2015. Victorian Government Risk Management Framework</w:t>
      </w:r>
      <w:r w:rsidR="001E2FE2">
        <w:t xml:space="preserve"> Practice Guide</w:t>
      </w:r>
      <w:r w:rsidRPr="008F59F9">
        <w:t xml:space="preserve">. Melbourne: </w:t>
      </w:r>
      <w:r>
        <w:t xml:space="preserve">Department of Treasury and Finance. </w:t>
      </w:r>
    </w:p>
    <w:p w14:paraId="2DB1F23A" w14:textId="4E3B1805" w:rsidR="001E2FE2" w:rsidRPr="009F2633" w:rsidRDefault="009F2633" w:rsidP="008F59F9">
      <w:pPr>
        <w:pStyle w:val="RWHBodycopy"/>
        <w:numPr>
          <w:ilvl w:val="0"/>
          <w:numId w:val="37"/>
        </w:numPr>
      </w:pPr>
      <w:r>
        <w:t xml:space="preserve">International Organisation for Standardisation, 2018. ISO 31000: 2018 Risk management – Guidelines. Geneva: </w:t>
      </w:r>
      <w:r>
        <w:t>International Organisation for Standardisation</w:t>
      </w:r>
      <w:r>
        <w:t xml:space="preserve">. </w:t>
      </w:r>
    </w:p>
    <w:sectPr w:rsidR="001E2FE2" w:rsidRPr="009F2633" w:rsidSect="00F07B90">
      <w:headerReference w:type="default" r:id="rId10"/>
      <w:pgSz w:w="16817" w:h="11901" w:orient="landscape"/>
      <w:pgMar w:top="1418" w:right="1418" w:bottom="1418" w:left="1418" w:header="652" w:footer="618"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B6044" w14:textId="77777777" w:rsidR="00244940" w:rsidRDefault="00244940" w:rsidP="001973EB">
      <w:r>
        <w:separator/>
      </w:r>
    </w:p>
  </w:endnote>
  <w:endnote w:type="continuationSeparator" w:id="0">
    <w:p w14:paraId="325D7156" w14:textId="77777777" w:rsidR="00244940" w:rsidRDefault="00244940"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45 Light">
    <w:altName w:val="Cambria"/>
    <w:panose1 w:val="020B0604020202020204"/>
    <w:charset w:val="00"/>
    <w:family w:val="auto"/>
    <w:pitch w:val="variable"/>
    <w:sig w:usb0="80000027" w:usb1="00000000" w:usb2="00000000" w:usb3="00000000" w:csb0="0000001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CDF0" w14:textId="77777777" w:rsidR="00C87EBE" w:rsidRPr="001973EB" w:rsidRDefault="00C87EBE" w:rsidP="00147EE0">
    <w:pPr>
      <w:pStyle w:val="Footer"/>
      <w:framePr w:w="686" w:h="420" w:hRule="exact" w:wrap="around" w:vAnchor="text" w:hAnchor="page" w:x="1419" w:y="7"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7625A2">
      <w:rPr>
        <w:rStyle w:val="PageNumber"/>
        <w:rFonts w:cs="Arial"/>
        <w:noProof/>
        <w:szCs w:val="18"/>
      </w:rPr>
      <w:t>3</w:t>
    </w:r>
    <w:r w:rsidRPr="001973EB">
      <w:rPr>
        <w:rStyle w:val="PageNumber"/>
        <w:rFonts w:cs="Arial"/>
        <w:szCs w:val="18"/>
      </w:rPr>
      <w:fldChar w:fldCharType="end"/>
    </w:r>
  </w:p>
  <w:p w14:paraId="561B3AAA" w14:textId="77777777" w:rsidR="00C87EBE" w:rsidRDefault="00C87EBE" w:rsidP="00147EE0">
    <w:pPr>
      <w:pStyle w:val="RWHFooter"/>
      <w:tabs>
        <w:tab w:val="left" w:pos="13608"/>
      </w:tabs>
      <w:ind w:firstLine="4320"/>
    </w:pPr>
  </w:p>
  <w:p w14:paraId="6DA67AB9" w14:textId="77777777" w:rsidR="00C87EBE" w:rsidRDefault="00C87EBE" w:rsidP="00147EE0">
    <w:pPr>
      <w:pStyle w:val="RWHFooter"/>
      <w:tabs>
        <w:tab w:val="left" w:pos="13608"/>
      </w:tabs>
      <w:ind w:firstLine="4320"/>
      <w:rPr>
        <w:lang w:val="en-AU"/>
      </w:rPr>
    </w:pPr>
  </w:p>
  <w:p w14:paraId="26BF0BC9" w14:textId="77777777" w:rsidR="00C87EBE" w:rsidRDefault="00C87EBE" w:rsidP="00147EE0">
    <w:pPr>
      <w:pStyle w:val="RWHFooter"/>
      <w:tabs>
        <w:tab w:val="left" w:pos="13608"/>
      </w:tabs>
      <w:ind w:firstLine="4320"/>
    </w:pPr>
    <w:r>
      <w:t>Risk Management Plan</w:t>
    </w:r>
  </w:p>
  <w:p w14:paraId="0A33EC2C" w14:textId="5CDC560E" w:rsidR="00C87EBE" w:rsidRPr="000A6A4D" w:rsidRDefault="00C87EBE" w:rsidP="00147EE0">
    <w:pPr>
      <w:pStyle w:val="RWHFooter"/>
      <w:tabs>
        <w:tab w:val="left" w:pos="13608"/>
      </w:tabs>
      <w:ind w:firstLine="4320"/>
      <w:rPr>
        <w:caps/>
      </w:rPr>
    </w:pPr>
    <w:r w:rsidRPr="001973EB">
      <w:t xml:space="preserve">Strengthening </w:t>
    </w:r>
    <w:r w:rsidR="00F07B90">
      <w:t>H</w:t>
    </w:r>
    <w:r w:rsidRPr="001973EB">
      <w:t xml:space="preserve">ospital </w:t>
    </w:r>
    <w:r w:rsidR="00F07B90">
      <w:t>R</w:t>
    </w:r>
    <w:r w:rsidRPr="001973EB">
      <w:t>es</w:t>
    </w:r>
    <w:r>
      <w:rPr>
        <w:noProof/>
        <w:lang w:val="en-AU" w:eastAsia="en-AU"/>
      </w:rPr>
      <w:drawing>
        <wp:anchor distT="0" distB="0" distL="114300" distR="114300" simplePos="0" relativeHeight="251664384" behindDoc="1" locked="1" layoutInCell="1" allowOverlap="1" wp14:anchorId="654C27B7" wp14:editId="4C0D56AF">
          <wp:simplePos x="0" y="0"/>
          <wp:positionH relativeFrom="page">
            <wp:posOffset>0</wp:posOffset>
          </wp:positionH>
          <wp:positionV relativeFrom="page">
            <wp:posOffset>10005695</wp:posOffset>
          </wp:positionV>
          <wp:extent cx="7560000" cy="687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 xml:space="preserve">ponses to </w:t>
    </w:r>
    <w:r w:rsidR="00F07B90">
      <w:t>F</w:t>
    </w:r>
    <w:r w:rsidRPr="001973EB">
      <w:t xml:space="preserve">amily </w:t>
    </w:r>
    <w:r w:rsidR="00F07B90">
      <w:t>V</w:t>
    </w:r>
    <w:r w:rsidRPr="001973EB">
      <w:t>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33210" w14:textId="77777777" w:rsidR="00244940" w:rsidRDefault="00244940" w:rsidP="001973EB">
      <w:r>
        <w:separator/>
      </w:r>
    </w:p>
  </w:footnote>
  <w:footnote w:type="continuationSeparator" w:id="0">
    <w:p w14:paraId="006B8106" w14:textId="77777777" w:rsidR="00244940" w:rsidRDefault="00244940"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DDF78" w14:textId="3B0F9892" w:rsidR="00C87EBE" w:rsidRPr="00E307B3" w:rsidRDefault="00F07B90" w:rsidP="000A6A4D">
    <w:pPr>
      <w:pStyle w:val="RWHHeader"/>
      <w:rPr>
        <w:noProof/>
      </w:rPr>
    </w:pPr>
    <w:r>
      <w:rPr>
        <w:noProof/>
        <w:lang w:eastAsia="en-AU"/>
      </w:rPr>
      <w:drawing>
        <wp:anchor distT="0" distB="0" distL="114300" distR="114300" simplePos="0" relativeHeight="251669504" behindDoc="1" locked="0" layoutInCell="1" allowOverlap="1" wp14:anchorId="28EBD895" wp14:editId="4063219A">
          <wp:simplePos x="0" y="0"/>
          <wp:positionH relativeFrom="page">
            <wp:posOffset>1768</wp:posOffset>
          </wp:positionH>
          <wp:positionV relativeFrom="page">
            <wp:posOffset>-210974</wp:posOffset>
          </wp:positionV>
          <wp:extent cx="7560000" cy="1422000"/>
          <wp:effectExtent l="0" t="0" r="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60000" cy="1422000"/>
                  </a:xfrm>
                  <a:prstGeom prst="rect">
                    <a:avLst/>
                  </a:prstGeom>
                </pic:spPr>
              </pic:pic>
            </a:graphicData>
          </a:graphic>
          <wp14:sizeRelH relativeFrom="margin">
            <wp14:pctWidth>0</wp14:pctWidth>
          </wp14:sizeRelH>
          <wp14:sizeRelV relativeFrom="margin">
            <wp14:pctHeight>0</wp14:pctHeight>
          </wp14:sizeRelV>
        </wp:anchor>
      </w:drawing>
    </w:r>
    <w:r w:rsidR="00C87EBE">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1AA5" w14:textId="04962066" w:rsidR="00F07B90" w:rsidRPr="00E307B3" w:rsidRDefault="00F07B90" w:rsidP="000A6A4D">
    <w:pPr>
      <w:pStyle w:val="RWHHeader"/>
      <w:rPr>
        <w:noProof/>
      </w:rPr>
    </w:pPr>
    <w:r>
      <w:rPr>
        <w:noProof/>
      </w:rPr>
      <w:t xml:space="preserve"> </w:t>
    </w:r>
    <w:r>
      <w:rPr>
        <w:noProof/>
        <w:lang w:eastAsia="en-AU"/>
      </w:rPr>
      <w:drawing>
        <wp:anchor distT="0" distB="0" distL="114300" distR="114300" simplePos="0" relativeHeight="251673600" behindDoc="1" locked="1" layoutInCell="1" allowOverlap="1" wp14:anchorId="5A277F01" wp14:editId="532058FB">
          <wp:simplePos x="0" y="0"/>
          <wp:positionH relativeFrom="page">
            <wp:posOffset>-227965</wp:posOffset>
          </wp:positionH>
          <wp:positionV relativeFrom="topMargin">
            <wp:posOffset>-5715</wp:posOffset>
          </wp:positionV>
          <wp:extent cx="10691495" cy="7486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10691495" cy="748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4641A85"/>
    <w:multiLevelType w:val="hybridMultilevel"/>
    <w:tmpl w:val="CBB0A1F8"/>
    <w:lvl w:ilvl="0" w:tplc="1602AD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B7A1A"/>
    <w:multiLevelType w:val="hybridMultilevel"/>
    <w:tmpl w:val="1CE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D230B"/>
    <w:multiLevelType w:val="multilevel"/>
    <w:tmpl w:val="CB621904"/>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AB04101"/>
    <w:multiLevelType w:val="hybridMultilevel"/>
    <w:tmpl w:val="FE92AD88"/>
    <w:lvl w:ilvl="0" w:tplc="D7BE137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DB71B1"/>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F0A226F"/>
    <w:multiLevelType w:val="hybridMultilevel"/>
    <w:tmpl w:val="8188CBD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1843D5"/>
    <w:multiLevelType w:val="hybridMultilevel"/>
    <w:tmpl w:val="1C4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712654"/>
    <w:multiLevelType w:val="hybridMultilevel"/>
    <w:tmpl w:val="543A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381ED7"/>
    <w:multiLevelType w:val="hybridMultilevel"/>
    <w:tmpl w:val="1D32784E"/>
    <w:lvl w:ilvl="0" w:tplc="3AB6DEC8">
      <w:start w:val="1"/>
      <w:numFmt w:val="bullet"/>
      <w:lvlText w:val=""/>
      <w:lvlJc w:val="left"/>
      <w:pPr>
        <w:ind w:left="284" w:hanging="284"/>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D44ECD"/>
    <w:multiLevelType w:val="hybridMultilevel"/>
    <w:tmpl w:val="B35E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847520"/>
    <w:multiLevelType w:val="hybridMultilevel"/>
    <w:tmpl w:val="3D50A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0F0841"/>
    <w:multiLevelType w:val="hybridMultilevel"/>
    <w:tmpl w:val="8B4093B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EA5C2D"/>
    <w:multiLevelType w:val="hybridMultilevel"/>
    <w:tmpl w:val="E4E2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F7256D"/>
    <w:multiLevelType w:val="hybridMultilevel"/>
    <w:tmpl w:val="EAA43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9F2398"/>
    <w:multiLevelType w:val="hybridMultilevel"/>
    <w:tmpl w:val="74C65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154380"/>
    <w:multiLevelType w:val="hybridMultilevel"/>
    <w:tmpl w:val="32C8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9E4F8C"/>
    <w:multiLevelType w:val="hybridMultilevel"/>
    <w:tmpl w:val="F0987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E312BF"/>
    <w:multiLevelType w:val="hybridMultilevel"/>
    <w:tmpl w:val="0264312A"/>
    <w:lvl w:ilvl="0" w:tplc="1602AD9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A7C35"/>
    <w:multiLevelType w:val="hybridMultilevel"/>
    <w:tmpl w:val="ACF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23887"/>
    <w:multiLevelType w:val="hybridMultilevel"/>
    <w:tmpl w:val="2DE89E9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0481BCB"/>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57372F1A"/>
    <w:multiLevelType w:val="multilevel"/>
    <w:tmpl w:val="8CE82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96A7536"/>
    <w:multiLevelType w:val="multilevel"/>
    <w:tmpl w:val="D9A8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6A673109"/>
    <w:multiLevelType w:val="hybridMultilevel"/>
    <w:tmpl w:val="FCC6F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F01CF0"/>
    <w:multiLevelType w:val="hybridMultilevel"/>
    <w:tmpl w:val="8FC6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F5602C"/>
    <w:multiLevelType w:val="hybridMultilevel"/>
    <w:tmpl w:val="655E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4D1B85"/>
    <w:multiLevelType w:val="hybridMultilevel"/>
    <w:tmpl w:val="CDD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824EE"/>
    <w:multiLevelType w:val="hybridMultilevel"/>
    <w:tmpl w:val="6B1229F0"/>
    <w:lvl w:ilvl="0" w:tplc="8B7C7D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3A13F9"/>
    <w:multiLevelType w:val="hybridMultilevel"/>
    <w:tmpl w:val="D10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A33100"/>
    <w:multiLevelType w:val="hybridMultilevel"/>
    <w:tmpl w:val="020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554809"/>
    <w:multiLevelType w:val="hybridMultilevel"/>
    <w:tmpl w:val="9006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17"/>
  </w:num>
  <w:num w:numId="4">
    <w:abstractNumId w:val="0"/>
  </w:num>
  <w:num w:numId="5">
    <w:abstractNumId w:val="11"/>
  </w:num>
  <w:num w:numId="6">
    <w:abstractNumId w:val="25"/>
  </w:num>
  <w:num w:numId="7">
    <w:abstractNumId w:val="3"/>
  </w:num>
  <w:num w:numId="8">
    <w:abstractNumId w:val="27"/>
  </w:num>
  <w:num w:numId="9">
    <w:abstractNumId w:val="24"/>
  </w:num>
  <w:num w:numId="10">
    <w:abstractNumId w:val="6"/>
  </w:num>
  <w:num w:numId="11">
    <w:abstractNumId w:val="1"/>
  </w:num>
  <w:num w:numId="12">
    <w:abstractNumId w:val="20"/>
  </w:num>
  <w:num w:numId="13">
    <w:abstractNumId w:val="20"/>
    <w:lvlOverride w:ilvl="0">
      <w:startOverride w:val="1"/>
    </w:lvlOverride>
  </w:num>
  <w:num w:numId="14">
    <w:abstractNumId w:val="22"/>
  </w:num>
  <w:num w:numId="15">
    <w:abstractNumId w:val="32"/>
  </w:num>
  <w:num w:numId="16">
    <w:abstractNumId w:val="18"/>
  </w:num>
  <w:num w:numId="17">
    <w:abstractNumId w:val="9"/>
  </w:num>
  <w:num w:numId="18">
    <w:abstractNumId w:val="15"/>
  </w:num>
  <w:num w:numId="19">
    <w:abstractNumId w:val="35"/>
  </w:num>
  <w:num w:numId="20">
    <w:abstractNumId w:val="31"/>
  </w:num>
  <w:num w:numId="21">
    <w:abstractNumId w:val="10"/>
  </w:num>
  <w:num w:numId="22">
    <w:abstractNumId w:val="26"/>
  </w:num>
  <w:num w:numId="23">
    <w:abstractNumId w:val="8"/>
  </w:num>
  <w:num w:numId="24">
    <w:abstractNumId w:val="28"/>
  </w:num>
  <w:num w:numId="25">
    <w:abstractNumId w:val="2"/>
  </w:num>
  <w:num w:numId="26">
    <w:abstractNumId w:val="34"/>
  </w:num>
  <w:num w:numId="27">
    <w:abstractNumId w:val="33"/>
  </w:num>
  <w:num w:numId="28">
    <w:abstractNumId w:val="7"/>
  </w:num>
  <w:num w:numId="29">
    <w:abstractNumId w:val="23"/>
  </w:num>
  <w:num w:numId="30">
    <w:abstractNumId w:val="30"/>
  </w:num>
  <w:num w:numId="31">
    <w:abstractNumId w:val="19"/>
  </w:num>
  <w:num w:numId="32">
    <w:abstractNumId w:val="16"/>
  </w:num>
  <w:num w:numId="33">
    <w:abstractNumId w:val="12"/>
  </w:num>
  <w:num w:numId="34">
    <w:abstractNumId w:val="29"/>
  </w:num>
  <w:num w:numId="35">
    <w:abstractNumId w:val="4"/>
  </w:num>
  <w:num w:numId="36">
    <w:abstractNumId w:val="1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2D"/>
    <w:rsid w:val="00000D1D"/>
    <w:rsid w:val="00027D9C"/>
    <w:rsid w:val="000334F5"/>
    <w:rsid w:val="000336FF"/>
    <w:rsid w:val="00055194"/>
    <w:rsid w:val="00071DF1"/>
    <w:rsid w:val="0007254C"/>
    <w:rsid w:val="000856D1"/>
    <w:rsid w:val="0009646C"/>
    <w:rsid w:val="000A6A4D"/>
    <w:rsid w:val="00104941"/>
    <w:rsid w:val="00133605"/>
    <w:rsid w:val="00147EE0"/>
    <w:rsid w:val="00163071"/>
    <w:rsid w:val="001878C8"/>
    <w:rsid w:val="001973EB"/>
    <w:rsid w:val="001D7914"/>
    <w:rsid w:val="001D7B4D"/>
    <w:rsid w:val="001E2FE2"/>
    <w:rsid w:val="0023390A"/>
    <w:rsid w:val="00234ADD"/>
    <w:rsid w:val="00244940"/>
    <w:rsid w:val="002506DF"/>
    <w:rsid w:val="00257D24"/>
    <w:rsid w:val="00267444"/>
    <w:rsid w:val="0027011C"/>
    <w:rsid w:val="00282B17"/>
    <w:rsid w:val="00297849"/>
    <w:rsid w:val="002A1628"/>
    <w:rsid w:val="002B1239"/>
    <w:rsid w:val="002B3B56"/>
    <w:rsid w:val="0032518A"/>
    <w:rsid w:val="0035652F"/>
    <w:rsid w:val="00384315"/>
    <w:rsid w:val="003965A2"/>
    <w:rsid w:val="003C3A73"/>
    <w:rsid w:val="003C496C"/>
    <w:rsid w:val="003D13FA"/>
    <w:rsid w:val="003F3A87"/>
    <w:rsid w:val="00431725"/>
    <w:rsid w:val="00445C9F"/>
    <w:rsid w:val="0044615E"/>
    <w:rsid w:val="00482735"/>
    <w:rsid w:val="0049101D"/>
    <w:rsid w:val="004B68ED"/>
    <w:rsid w:val="004C65C0"/>
    <w:rsid w:val="004D0BB0"/>
    <w:rsid w:val="004E0131"/>
    <w:rsid w:val="00534EBD"/>
    <w:rsid w:val="005525E8"/>
    <w:rsid w:val="00555B4F"/>
    <w:rsid w:val="0056272D"/>
    <w:rsid w:val="0056373F"/>
    <w:rsid w:val="00566C8B"/>
    <w:rsid w:val="00577BB0"/>
    <w:rsid w:val="005C210F"/>
    <w:rsid w:val="005F1315"/>
    <w:rsid w:val="005F6B6F"/>
    <w:rsid w:val="006033F7"/>
    <w:rsid w:val="0062779E"/>
    <w:rsid w:val="006A4184"/>
    <w:rsid w:val="006C4F96"/>
    <w:rsid w:val="006D629E"/>
    <w:rsid w:val="006E047C"/>
    <w:rsid w:val="006E0EAF"/>
    <w:rsid w:val="00701A40"/>
    <w:rsid w:val="00734528"/>
    <w:rsid w:val="007625A2"/>
    <w:rsid w:val="0077129A"/>
    <w:rsid w:val="0077236B"/>
    <w:rsid w:val="00786260"/>
    <w:rsid w:val="00795E96"/>
    <w:rsid w:val="007C2928"/>
    <w:rsid w:val="007F1FCC"/>
    <w:rsid w:val="008022E5"/>
    <w:rsid w:val="008127C0"/>
    <w:rsid w:val="008538BA"/>
    <w:rsid w:val="00870DE4"/>
    <w:rsid w:val="00877D6C"/>
    <w:rsid w:val="00882F9A"/>
    <w:rsid w:val="008947A0"/>
    <w:rsid w:val="008E3DA0"/>
    <w:rsid w:val="008E4FA6"/>
    <w:rsid w:val="008F59F9"/>
    <w:rsid w:val="00916237"/>
    <w:rsid w:val="00924C6C"/>
    <w:rsid w:val="00944458"/>
    <w:rsid w:val="00960D31"/>
    <w:rsid w:val="00965068"/>
    <w:rsid w:val="009B5ADB"/>
    <w:rsid w:val="009D3771"/>
    <w:rsid w:val="009D6CDD"/>
    <w:rsid w:val="009F1D5F"/>
    <w:rsid w:val="009F2633"/>
    <w:rsid w:val="00A013D8"/>
    <w:rsid w:val="00A02371"/>
    <w:rsid w:val="00A23A76"/>
    <w:rsid w:val="00A60D9A"/>
    <w:rsid w:val="00A64744"/>
    <w:rsid w:val="00A75BF3"/>
    <w:rsid w:val="00AA3532"/>
    <w:rsid w:val="00AD2896"/>
    <w:rsid w:val="00AD562D"/>
    <w:rsid w:val="00AF1DF6"/>
    <w:rsid w:val="00AF3AA1"/>
    <w:rsid w:val="00B659C0"/>
    <w:rsid w:val="00B923B6"/>
    <w:rsid w:val="00BA39DF"/>
    <w:rsid w:val="00BB193C"/>
    <w:rsid w:val="00C16002"/>
    <w:rsid w:val="00C16733"/>
    <w:rsid w:val="00C45653"/>
    <w:rsid w:val="00C540F9"/>
    <w:rsid w:val="00C625F4"/>
    <w:rsid w:val="00C7289C"/>
    <w:rsid w:val="00C77B50"/>
    <w:rsid w:val="00C87EBE"/>
    <w:rsid w:val="00CF1FE3"/>
    <w:rsid w:val="00D0189B"/>
    <w:rsid w:val="00D16634"/>
    <w:rsid w:val="00D34BFA"/>
    <w:rsid w:val="00D37AD6"/>
    <w:rsid w:val="00D4125C"/>
    <w:rsid w:val="00D67E82"/>
    <w:rsid w:val="00D9087F"/>
    <w:rsid w:val="00DA451A"/>
    <w:rsid w:val="00DC5E53"/>
    <w:rsid w:val="00E307B3"/>
    <w:rsid w:val="00E33712"/>
    <w:rsid w:val="00E558C5"/>
    <w:rsid w:val="00E6330B"/>
    <w:rsid w:val="00E65EE5"/>
    <w:rsid w:val="00ED64D8"/>
    <w:rsid w:val="00ED726F"/>
    <w:rsid w:val="00EE6A66"/>
    <w:rsid w:val="00EF03EB"/>
    <w:rsid w:val="00EF3390"/>
    <w:rsid w:val="00F07B90"/>
    <w:rsid w:val="00F15CB5"/>
    <w:rsid w:val="00F570FA"/>
    <w:rsid w:val="00F77244"/>
    <w:rsid w:val="00F848E2"/>
    <w:rsid w:val="00FE327C"/>
    <w:rsid w:val="3FEF175B"/>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E026C87"/>
  <w15:docId w15:val="{D5ACA4E6-6098-F44C-A013-1F396038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A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4"/>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8"/>
      </w:numPr>
    </w:pPr>
  </w:style>
  <w:style w:type="paragraph" w:customStyle="1" w:styleId="RWHNumberedlist">
    <w:name w:val="RWH: Numbered list"/>
    <w:basedOn w:val="RWHBodycopy"/>
    <w:qFormat/>
    <w:rsid w:val="001973EB"/>
    <w:pPr>
      <w:numPr>
        <w:numId w:val="1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21"/>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paragraph" w:styleId="FootnoteText">
    <w:name w:val="footnote text"/>
    <w:basedOn w:val="Normal"/>
    <w:link w:val="FootnoteTextChar"/>
    <w:uiPriority w:val="99"/>
    <w:semiHidden/>
    <w:unhideWhenUsed/>
    <w:rsid w:val="004B68ED"/>
    <w:rPr>
      <w:sz w:val="20"/>
      <w:szCs w:val="20"/>
    </w:rPr>
  </w:style>
  <w:style w:type="character" w:customStyle="1" w:styleId="FootnoteTextChar">
    <w:name w:val="Footnote Text Char"/>
    <w:basedOn w:val="DefaultParagraphFont"/>
    <w:link w:val="FootnoteText"/>
    <w:uiPriority w:val="99"/>
    <w:semiHidden/>
    <w:rsid w:val="004B68ED"/>
    <w:rPr>
      <w:lang w:val="en-AU"/>
    </w:rPr>
  </w:style>
  <w:style w:type="character" w:styleId="FootnoteReference">
    <w:name w:val="footnote reference"/>
    <w:basedOn w:val="DefaultParagraphFont"/>
    <w:uiPriority w:val="99"/>
    <w:semiHidden/>
    <w:unhideWhenUsed/>
    <w:rsid w:val="004B68ED"/>
    <w:rPr>
      <w:vertAlign w:val="superscript"/>
    </w:rPr>
  </w:style>
  <w:style w:type="character" w:styleId="CommentReference">
    <w:name w:val="annotation reference"/>
    <w:basedOn w:val="DefaultParagraphFont"/>
    <w:uiPriority w:val="99"/>
    <w:semiHidden/>
    <w:unhideWhenUsed/>
    <w:rsid w:val="004B68ED"/>
    <w:rPr>
      <w:sz w:val="16"/>
      <w:szCs w:val="16"/>
    </w:rPr>
  </w:style>
  <w:style w:type="paragraph" w:styleId="CommentText">
    <w:name w:val="annotation text"/>
    <w:basedOn w:val="Normal"/>
    <w:link w:val="CommentTextChar"/>
    <w:uiPriority w:val="99"/>
    <w:semiHidden/>
    <w:unhideWhenUsed/>
    <w:rsid w:val="004B68ED"/>
    <w:rPr>
      <w:sz w:val="20"/>
      <w:szCs w:val="20"/>
    </w:rPr>
  </w:style>
  <w:style w:type="character" w:customStyle="1" w:styleId="CommentTextChar">
    <w:name w:val="Comment Text Char"/>
    <w:basedOn w:val="DefaultParagraphFont"/>
    <w:link w:val="CommentText"/>
    <w:uiPriority w:val="99"/>
    <w:semiHidden/>
    <w:rsid w:val="004B68ED"/>
    <w:rPr>
      <w:lang w:val="en-AU"/>
    </w:rPr>
  </w:style>
  <w:style w:type="paragraph" w:styleId="CommentSubject">
    <w:name w:val="annotation subject"/>
    <w:basedOn w:val="CommentText"/>
    <w:next w:val="CommentText"/>
    <w:link w:val="CommentSubjectChar"/>
    <w:uiPriority w:val="99"/>
    <w:semiHidden/>
    <w:unhideWhenUsed/>
    <w:rsid w:val="004B68ED"/>
    <w:rPr>
      <w:b/>
      <w:bCs/>
    </w:rPr>
  </w:style>
  <w:style w:type="character" w:customStyle="1" w:styleId="CommentSubjectChar">
    <w:name w:val="Comment Subject Char"/>
    <w:basedOn w:val="CommentTextChar"/>
    <w:link w:val="CommentSubject"/>
    <w:uiPriority w:val="99"/>
    <w:semiHidden/>
    <w:rsid w:val="004B68ED"/>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23F24-B94F-664F-B184-A8377869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Madeleine Smith</cp:lastModifiedBy>
  <cp:revision>4</cp:revision>
  <cp:lastPrinted>2016-06-07T04:35:00Z</cp:lastPrinted>
  <dcterms:created xsi:type="dcterms:W3CDTF">2020-08-25T03:50:00Z</dcterms:created>
  <dcterms:modified xsi:type="dcterms:W3CDTF">2020-08-25T05:57:00Z</dcterms:modified>
</cp:coreProperties>
</file>